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4D" w:rsidRDefault="0055054D" w:rsidP="0055054D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55054D">
        <w:rPr>
          <w:rFonts w:ascii="Times New Roman" w:eastAsia="黑体" w:hAnsi="Times New Roman" w:cs="Times New Roman" w:hint="eastAsia"/>
          <w:sz w:val="48"/>
          <w:szCs w:val="48"/>
        </w:rPr>
        <w:t>香格里拉市中勇加油站</w:t>
      </w:r>
      <w:r w:rsidR="00A568A8" w:rsidRPr="00B870EB">
        <w:rPr>
          <w:rFonts w:ascii="Times New Roman" w:eastAsia="黑体" w:hAnsi="Times New Roman" w:cs="Times New Roman"/>
          <w:sz w:val="48"/>
          <w:szCs w:val="48"/>
        </w:rPr>
        <w:t>水土保持设施</w:t>
      </w:r>
    </w:p>
    <w:p w:rsidR="00BB24DC" w:rsidRDefault="008540CC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 w:hint="eastAsia"/>
          <w:sz w:val="48"/>
          <w:szCs w:val="48"/>
        </w:rPr>
        <w:t>竣工</w:t>
      </w:r>
      <w:r w:rsidR="0055054D" w:rsidRPr="0055054D">
        <w:rPr>
          <w:rFonts w:ascii="Times New Roman" w:eastAsia="黑体" w:hAnsi="Times New Roman" w:cs="Times New Roman"/>
          <w:sz w:val="48"/>
          <w:szCs w:val="48"/>
        </w:rPr>
        <w:t>验收</w:t>
      </w:r>
    </w:p>
    <w:p w:rsidR="00BB24DC" w:rsidRDefault="00BB24DC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B24DC" w:rsidRDefault="00BB24DC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55054D" w:rsidRDefault="0055054D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870EB" w:rsidRDefault="00B870EB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1F237D" w:rsidRPr="00B870EB" w:rsidRDefault="00A568A8">
      <w:pPr>
        <w:jc w:val="center"/>
        <w:rPr>
          <w:rFonts w:ascii="Times New Roman" w:eastAsia="楷体_GB2312" w:hAnsi="Times New Roman" w:cs="Times New Roman"/>
          <w:sz w:val="72"/>
          <w:szCs w:val="72"/>
        </w:rPr>
      </w:pPr>
      <w:r w:rsidRPr="00B870EB">
        <w:rPr>
          <w:rFonts w:ascii="Times New Roman" w:eastAsia="楷体_GB2312" w:hAnsi="Times New Roman" w:cs="Times New Roman"/>
          <w:sz w:val="72"/>
          <w:szCs w:val="72"/>
        </w:rPr>
        <w:t>鉴定书</w:t>
      </w: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Pr="00037B33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Default="001F237D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1F237D" w:rsidRPr="00BB24DC" w:rsidRDefault="00A568A8">
      <w:pPr>
        <w:spacing w:line="700" w:lineRule="exact"/>
        <w:rPr>
          <w:rFonts w:ascii="宋体" w:eastAsia="宋体" w:hAnsi="宋体" w:cs="Times New Roman"/>
          <w:bCs/>
          <w:sz w:val="28"/>
          <w:szCs w:val="28"/>
          <w:u w:val="single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项 目 名 称 </w:t>
      </w:r>
      <w:r w:rsidR="00BB24DC" w:rsidRPr="00BB24DC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55054D" w:rsidRPr="0055054D">
        <w:rPr>
          <w:rFonts w:ascii="宋体" w:eastAsia="宋体" w:hAnsi="宋体" w:cs="Times New Roman" w:hint="eastAsia"/>
          <w:bCs/>
          <w:sz w:val="28"/>
          <w:szCs w:val="28"/>
          <w:u w:val="single"/>
        </w:rPr>
        <w:t>香格里拉市中勇加油站</w:t>
      </w:r>
      <w:r w:rsidR="009205A7">
        <w:rPr>
          <w:rFonts w:ascii="宋体" w:eastAsia="宋体" w:hAnsi="宋体" w:cs="Times New Roman" w:hint="eastAsia"/>
          <w:bCs/>
          <w:sz w:val="28"/>
          <w:szCs w:val="28"/>
          <w:u w:val="single"/>
        </w:rPr>
        <w:t>建设项目</w:t>
      </w:r>
      <w:r w:rsidR="00D1744F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   </w:t>
      </w:r>
      <w:r w:rsidR="0055054D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    </w:t>
      </w:r>
      <w:r w:rsidR="00F133C7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  <w:r w:rsidR="00BB24DC" w:rsidRPr="00BB24DC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    </w:t>
      </w:r>
    </w:p>
    <w:p w:rsidR="001F237D" w:rsidRPr="00BB24DC" w:rsidRDefault="00A568A8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项 目 编 号 </w:t>
      </w:r>
      <w:r w:rsidRPr="00BB24DC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 </w:t>
      </w:r>
      <w:r w:rsidR="0055054D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                             </w:t>
      </w:r>
      <w:r w:rsidR="00F133C7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  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</w:t>
      </w:r>
    </w:p>
    <w:p w:rsidR="001F237D" w:rsidRPr="00BB24DC" w:rsidRDefault="00A568A8">
      <w:pPr>
        <w:spacing w:line="360" w:lineRule="auto"/>
        <w:rPr>
          <w:rFonts w:ascii="宋体" w:eastAsia="宋体" w:hAnsi="宋体" w:cs="Times New Roman"/>
          <w:color w:val="000000"/>
          <w:sz w:val="28"/>
          <w:szCs w:val="28"/>
          <w:u w:val="single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建 设 地 点 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>迪庆州</w:t>
      </w:r>
      <w:proofErr w:type="gramStart"/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>香格里拉市</w:t>
      </w:r>
      <w:r w:rsidR="00F1483D">
        <w:rPr>
          <w:rFonts w:ascii="宋体" w:eastAsia="宋体" w:hAnsi="宋体" w:cs="Times New Roman" w:hint="eastAsia"/>
          <w:bCs/>
          <w:sz w:val="28"/>
          <w:szCs w:val="28"/>
          <w:u w:val="single"/>
        </w:rPr>
        <w:t>格咱乡</w:t>
      </w:r>
      <w:proofErr w:type="gramEnd"/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     </w:t>
      </w:r>
      <w:r w:rsidR="00F1483D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="00F133C7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="00BB24DC"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</w:t>
      </w:r>
      <w:r w:rsidR="00D1744F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Times New Roman"/>
          <w:bCs/>
          <w:sz w:val="28"/>
          <w:szCs w:val="28"/>
          <w:u w:val="single"/>
        </w:rPr>
        <w:t xml:space="preserve">  </w:t>
      </w:r>
    </w:p>
    <w:p w:rsidR="001F237D" w:rsidRPr="00BB24DC" w:rsidRDefault="00A568A8">
      <w:pPr>
        <w:spacing w:line="360" w:lineRule="auto"/>
        <w:rPr>
          <w:rFonts w:ascii="宋体" w:eastAsia="宋体" w:hAnsi="宋体" w:cs="Times New Roman"/>
          <w:sz w:val="32"/>
          <w:szCs w:val="32"/>
        </w:rPr>
      </w:pPr>
      <w:r w:rsidRPr="00BB24DC">
        <w:rPr>
          <w:rFonts w:ascii="宋体" w:eastAsia="宋体" w:hAnsi="宋体" w:cs="Times New Roman"/>
          <w:sz w:val="28"/>
          <w:szCs w:val="28"/>
        </w:rPr>
        <w:t xml:space="preserve">验 </w:t>
      </w:r>
      <w:r w:rsidRPr="00BB24DC">
        <w:rPr>
          <w:rFonts w:ascii="宋体" w:eastAsia="宋体" w:hAnsi="宋体" w:cs="Times New Roman"/>
          <w:spacing w:val="-20"/>
          <w:sz w:val="28"/>
          <w:szCs w:val="28"/>
        </w:rPr>
        <w:t xml:space="preserve">收 </w:t>
      </w:r>
      <w:r w:rsidRPr="00BB24DC">
        <w:rPr>
          <w:rFonts w:ascii="宋体" w:eastAsia="宋体" w:hAnsi="宋体" w:cs="Times New Roman"/>
          <w:spacing w:val="-20"/>
          <w:sz w:val="18"/>
          <w:szCs w:val="18"/>
        </w:rPr>
        <w:t xml:space="preserve">  </w:t>
      </w:r>
      <w:r w:rsidRPr="00BB24DC">
        <w:rPr>
          <w:rFonts w:ascii="宋体" w:eastAsia="宋体" w:hAnsi="宋体" w:cs="Times New Roman"/>
          <w:spacing w:val="-20"/>
          <w:sz w:val="28"/>
          <w:szCs w:val="28"/>
        </w:rPr>
        <w:t xml:space="preserve">单  </w:t>
      </w:r>
      <w:r w:rsidRPr="00BB24DC">
        <w:rPr>
          <w:rFonts w:ascii="宋体" w:eastAsia="宋体" w:hAnsi="宋体" w:cs="Times New Roman"/>
          <w:sz w:val="28"/>
          <w:szCs w:val="28"/>
        </w:rPr>
        <w:t xml:space="preserve">位 </w:t>
      </w:r>
      <w:r w:rsidR="00BB24DC" w:rsidRPr="00BB24DC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D1744F" w:rsidRPr="00D1744F">
        <w:rPr>
          <w:rFonts w:ascii="宋体" w:eastAsia="宋体" w:hAnsi="宋体" w:cs="Times New Roman" w:hint="eastAsia"/>
          <w:bCs/>
          <w:sz w:val="28"/>
          <w:szCs w:val="28"/>
          <w:u w:val="single"/>
        </w:rPr>
        <w:t>香格里拉</w:t>
      </w:r>
      <w:proofErr w:type="gramStart"/>
      <w:r w:rsidR="00D1744F" w:rsidRPr="00D1744F">
        <w:rPr>
          <w:rFonts w:ascii="宋体" w:eastAsia="宋体" w:hAnsi="宋体" w:cs="Times New Roman" w:hint="eastAsia"/>
          <w:bCs/>
          <w:sz w:val="28"/>
          <w:szCs w:val="28"/>
          <w:u w:val="single"/>
        </w:rPr>
        <w:t>市存杰</w:t>
      </w:r>
      <w:proofErr w:type="gramEnd"/>
      <w:r w:rsidR="00D1744F" w:rsidRPr="00D1744F">
        <w:rPr>
          <w:rFonts w:ascii="宋体" w:eastAsia="宋体" w:hAnsi="宋体" w:cs="Times New Roman" w:hint="eastAsia"/>
          <w:bCs/>
          <w:sz w:val="28"/>
          <w:szCs w:val="28"/>
          <w:u w:val="single"/>
        </w:rPr>
        <w:t>养殖农民专业合作社</w:t>
      </w:r>
      <w:r w:rsidR="00D1744F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   </w:t>
      </w:r>
      <w:r w:rsidR="00F1483D" w:rsidRPr="00F1483D">
        <w:rPr>
          <w:rFonts w:ascii="宋体" w:eastAsia="宋体" w:hAnsi="宋体" w:cs="Times New Roman" w:hint="eastAsia"/>
          <w:bCs/>
          <w:sz w:val="28"/>
          <w:szCs w:val="28"/>
          <w:u w:val="single"/>
        </w:rPr>
        <w:t xml:space="preserve"> </w:t>
      </w:r>
      <w:r w:rsidRPr="00BB24DC">
        <w:rPr>
          <w:rFonts w:ascii="宋体" w:eastAsia="宋体" w:hAnsi="宋体" w:cs="宋体" w:hint="eastAsia"/>
          <w:sz w:val="32"/>
          <w:szCs w:val="32"/>
          <w:u w:val="single"/>
        </w:rPr>
        <w:t xml:space="preserve"> </w:t>
      </w:r>
      <w:r w:rsidRPr="00BB24DC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r w:rsidRPr="00BB24DC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</w:p>
    <w:p w:rsidR="001F237D" w:rsidRPr="00BB24DC" w:rsidRDefault="00BB24DC">
      <w:pPr>
        <w:spacing w:beforeLines="50" w:before="156" w:afterLines="50" w:after="156"/>
        <w:jc w:val="center"/>
        <w:rPr>
          <w:rFonts w:ascii="宋体" w:eastAsia="宋体" w:hAnsi="宋体" w:cs="Times New Roman"/>
          <w:color w:val="000000"/>
          <w:sz w:val="28"/>
          <w:szCs w:val="28"/>
        </w:rPr>
      </w:pPr>
      <w:r w:rsidRPr="00BB24DC">
        <w:rPr>
          <w:rFonts w:ascii="宋体" w:eastAsia="宋体" w:hAnsi="宋体" w:cs="Times New Roman" w:hint="eastAsia"/>
          <w:sz w:val="28"/>
          <w:szCs w:val="28"/>
        </w:rPr>
        <w:t>20</w:t>
      </w:r>
      <w:r w:rsidR="009205A7">
        <w:rPr>
          <w:rFonts w:ascii="宋体" w:eastAsia="宋体" w:hAnsi="宋体" w:cs="Times New Roman" w:hint="eastAsia"/>
          <w:sz w:val="28"/>
          <w:szCs w:val="28"/>
        </w:rPr>
        <w:t>22</w:t>
      </w:r>
      <w:r w:rsidR="00A568A8" w:rsidRPr="00BB24DC">
        <w:rPr>
          <w:rFonts w:ascii="宋体" w:eastAsia="宋体" w:hAnsi="宋体" w:cs="Times New Roman"/>
          <w:sz w:val="28"/>
          <w:szCs w:val="28"/>
        </w:rPr>
        <w:t>年</w:t>
      </w:r>
      <w:r w:rsidR="009205A7">
        <w:rPr>
          <w:rFonts w:ascii="宋体" w:eastAsia="宋体" w:hAnsi="宋体" w:cs="Times New Roman" w:hint="eastAsia"/>
          <w:sz w:val="28"/>
          <w:szCs w:val="28"/>
        </w:rPr>
        <w:t>1</w:t>
      </w:r>
      <w:r w:rsidR="00A568A8" w:rsidRPr="00BB24DC">
        <w:rPr>
          <w:rFonts w:ascii="宋体" w:eastAsia="宋体" w:hAnsi="宋体" w:cs="Times New Roman"/>
          <w:sz w:val="28"/>
          <w:szCs w:val="28"/>
        </w:rPr>
        <w:t>月</w:t>
      </w:r>
    </w:p>
    <w:p w:rsidR="001F237D" w:rsidRDefault="00A568A8">
      <w:pPr>
        <w:spacing w:beforeLines="50" w:before="156" w:afterLines="50" w:after="156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一、生产建设项目水土保持设施验收基本情况表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303"/>
        <w:gridCol w:w="806"/>
        <w:gridCol w:w="1026"/>
      </w:tblGrid>
      <w:tr w:rsidR="001F237D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303" w:type="dxa"/>
            <w:vAlign w:val="center"/>
          </w:tcPr>
          <w:p w:rsidR="001F237D" w:rsidRPr="00BB24DC" w:rsidRDefault="00B849A5" w:rsidP="00BB24D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849A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香格里拉市中勇加油站建设项目</w:t>
            </w:r>
          </w:p>
        </w:tc>
        <w:tc>
          <w:tcPr>
            <w:tcW w:w="80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026" w:type="dxa"/>
            <w:vAlign w:val="center"/>
          </w:tcPr>
          <w:p w:rsidR="001F237D" w:rsidRPr="00BB24DC" w:rsidRDefault="00B849A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建筑</w:t>
            </w:r>
          </w:p>
        </w:tc>
      </w:tr>
      <w:tr w:rsidR="001F237D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主管部门</w:t>
            </w:r>
          </w:p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（或主要投资方）</w:t>
            </w:r>
          </w:p>
        </w:tc>
        <w:tc>
          <w:tcPr>
            <w:tcW w:w="4303" w:type="dxa"/>
            <w:vAlign w:val="center"/>
          </w:tcPr>
          <w:p w:rsidR="001F237D" w:rsidRPr="00BB24DC" w:rsidRDefault="00D1744F" w:rsidP="00BB24DC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市存杰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养殖农民专业合作社</w:t>
            </w:r>
          </w:p>
        </w:tc>
        <w:tc>
          <w:tcPr>
            <w:tcW w:w="80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026" w:type="dxa"/>
            <w:vAlign w:val="center"/>
          </w:tcPr>
          <w:p w:rsidR="001F237D" w:rsidRPr="00BB24DC" w:rsidRDefault="00A568A8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新建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水土保持方案批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水土保持方案变更批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水土保持初步设计批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复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Default="00A568A8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水保方案审批部门：香格里拉</w:t>
            </w:r>
            <w:r w:rsidR="00BB24DC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水</w:t>
            </w:r>
            <w:proofErr w:type="gramStart"/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局</w:t>
            </w:r>
          </w:p>
          <w:p w:rsidR="002546C2" w:rsidRPr="00BB24DC" w:rsidRDefault="002546C2" w:rsidP="00BB24D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文号：香水许可（2019）3号</w:t>
            </w:r>
          </w:p>
          <w:p w:rsidR="001F237D" w:rsidRPr="00BB24DC" w:rsidRDefault="002546C2" w:rsidP="002546C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时间：</w:t>
            </w:r>
            <w:r w:rsidR="00A568A8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二零一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九</w:t>
            </w:r>
            <w:r w:rsidR="00A568A8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</w:t>
            </w:r>
            <w:r w:rsidR="00A568A8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二十八</w:t>
            </w:r>
            <w:r w:rsidR="00A568A8"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1F237D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项目建设起止时间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D1744F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D1744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2546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月—20</w:t>
            </w:r>
            <w:r w:rsidR="002546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="00D1744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D1744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水土保持方案编制单位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BB24DC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水土保持初步设计单位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2546C2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2546C2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嘉苑水利</w:t>
            </w:r>
            <w:proofErr w:type="gramEnd"/>
            <w:r w:rsidRPr="002546C2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水电工程设计咨询有限公司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水土保持监测单位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D1744F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云南恒成工程设计</w:t>
            </w:r>
            <w:proofErr w:type="gramEnd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咨询有限公司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水土保持施工单位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D1744F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云南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宸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源建筑工程有限公司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水土保持监理单位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D1744F" w:rsidP="00BB24DC">
            <w:pPr>
              <w:ind w:leftChars="57" w:left="120"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迪庆经济开发区顺和工程监理有限公司</w:t>
            </w:r>
          </w:p>
        </w:tc>
      </w:tr>
      <w:tr w:rsidR="001F237D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水土保持设施验收</w:t>
            </w:r>
          </w:p>
          <w:p w:rsidR="001F237D" w:rsidRPr="00BB24DC" w:rsidRDefault="00A568A8">
            <w:pPr>
              <w:ind w:leftChars="57" w:lef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报告</w:t>
            </w:r>
            <w:r w:rsidRPr="00BB24DC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编制单位</w:t>
            </w:r>
          </w:p>
        </w:tc>
        <w:tc>
          <w:tcPr>
            <w:tcW w:w="6135" w:type="dxa"/>
            <w:gridSpan w:val="3"/>
            <w:vAlign w:val="center"/>
          </w:tcPr>
          <w:p w:rsidR="001F237D" w:rsidRPr="00BB24DC" w:rsidRDefault="00A568A8" w:rsidP="00BB24DC">
            <w:pPr>
              <w:ind w:right="12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B24D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香格里拉市华辰水电咨询设计有限公司</w:t>
            </w:r>
          </w:p>
        </w:tc>
      </w:tr>
    </w:tbl>
    <w:p w:rsidR="001F237D" w:rsidRDefault="001F237D">
      <w:pPr>
        <w:ind w:firstLine="615"/>
        <w:rPr>
          <w:rFonts w:ascii="Times New Roman" w:eastAsia="黑体" w:hAnsi="Times New Roman" w:cs="Times New Roman"/>
          <w:sz w:val="30"/>
          <w:szCs w:val="30"/>
        </w:rPr>
      </w:pPr>
    </w:p>
    <w:p w:rsidR="001F237D" w:rsidRDefault="00A568A8">
      <w:pPr>
        <w:ind w:firstLineChars="200" w:firstLine="6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二、验收意见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1F237D">
        <w:trPr>
          <w:trHeight w:val="12604"/>
          <w:jc w:val="center"/>
        </w:trPr>
        <w:tc>
          <w:tcPr>
            <w:tcW w:w="8838" w:type="dxa"/>
          </w:tcPr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根据《中华人民共和国水土保持法》（2016年7月2日修订）、《开发建设项目水土保持设施验收管理办法》（2002年水利部令第16号，201</w:t>
            </w:r>
            <w:r w:rsidR="00BB24DC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BB24DC">
              <w:rPr>
                <w:rFonts w:ascii="宋体" w:eastAsia="宋体" w:hAnsi="宋体" w:cs="宋体" w:hint="eastAsia"/>
                <w:sz w:val="28"/>
                <w:szCs w:val="28"/>
              </w:rPr>
              <w:t>365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号令修订）的规定，我公司于20</w:t>
            </w:r>
            <w:r w:rsidR="000E1201">
              <w:rPr>
                <w:rFonts w:ascii="宋体" w:eastAsia="宋体" w:hAnsi="宋体" w:cs="宋体" w:hint="eastAsia"/>
                <w:sz w:val="28"/>
                <w:szCs w:val="28"/>
              </w:rPr>
              <w:t>22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E1201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月在迪庆州香格里拉市主持召开了</w:t>
            </w:r>
            <w:r w:rsidR="000E1201" w:rsidRPr="000E1201">
              <w:rPr>
                <w:rFonts w:ascii="宋体" w:eastAsia="宋体" w:hAnsi="宋体" w:cs="宋体" w:hint="eastAsia"/>
                <w:sz w:val="28"/>
                <w:szCs w:val="28"/>
              </w:rPr>
              <w:t>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水土保持设施竣工验收会议。参加会议的有建设单位</w:t>
            </w:r>
            <w:r w:rsidR="006A60D8" w:rsidRPr="006A60D8">
              <w:rPr>
                <w:rFonts w:ascii="宋体" w:eastAsia="宋体" w:hAnsi="宋体" w:cs="宋体" w:hint="eastAsia"/>
                <w:sz w:val="28"/>
                <w:szCs w:val="28"/>
              </w:rPr>
              <w:t>香格里拉</w:t>
            </w:r>
            <w:proofErr w:type="gramStart"/>
            <w:r w:rsidR="006A60D8" w:rsidRPr="006A60D8">
              <w:rPr>
                <w:rFonts w:ascii="宋体" w:eastAsia="宋体" w:hAnsi="宋体" w:cs="宋体" w:hint="eastAsia"/>
                <w:sz w:val="28"/>
                <w:szCs w:val="28"/>
              </w:rPr>
              <w:t>市存杰</w:t>
            </w:r>
            <w:proofErr w:type="gramEnd"/>
            <w:r w:rsidR="006A60D8" w:rsidRPr="006A60D8">
              <w:rPr>
                <w:rFonts w:ascii="宋体" w:eastAsia="宋体" w:hAnsi="宋体" w:cs="宋体" w:hint="eastAsia"/>
                <w:sz w:val="28"/>
                <w:szCs w:val="28"/>
              </w:rPr>
              <w:t>养殖农民专业合作社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、方案编制单位、施工、监理等单位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</w:rPr>
              <w:t>的专家和代表共12人，会议成立了验收组（名单附后）。</w:t>
            </w:r>
          </w:p>
          <w:p w:rsidR="001F237D" w:rsidRDefault="00A568A8" w:rsidP="000E1201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验收会议召开前，建设单位开展了水土保持设施自检验收，编制了《</w:t>
            </w:r>
            <w:r w:rsidR="000E1201">
              <w:rPr>
                <w:rFonts w:ascii="宋体" w:eastAsia="宋体" w:hAnsi="宋体" w:cs="宋体" w:hint="eastAsia"/>
                <w:sz w:val="28"/>
                <w:szCs w:val="28"/>
              </w:rPr>
              <w:t>单位香格里拉市中勇加油站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水土保持工程验收报告》，并提交了验收申请。监理单位提交了《</w:t>
            </w:r>
            <w:r w:rsidR="000E1201">
              <w:rPr>
                <w:rFonts w:ascii="宋体" w:eastAsia="宋体" w:hAnsi="宋体" w:cs="宋体" w:hint="eastAsia"/>
                <w:sz w:val="28"/>
                <w:szCs w:val="28"/>
              </w:rPr>
              <w:t>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水土保持监理报告》，以上报告为此次验收提供了重要依据。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验收组及会代表对项目进行了查勘，查阅了相关技术资料，听取了建设单位关于项目建设情况的工作汇报、方案编制、监理等单位的工作情况汇报。并听取了香格里拉市华辰水电咨询设计有限公司《</w:t>
            </w:r>
            <w:r w:rsidR="000E1201">
              <w:rPr>
                <w:rFonts w:ascii="宋体" w:eastAsia="宋体" w:hAnsi="宋体" w:cs="宋体" w:hint="eastAsia"/>
                <w:sz w:val="28"/>
                <w:szCs w:val="28"/>
              </w:rPr>
              <w:t>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水土保持工程验收报告</w:t>
            </w:r>
            <w:r w:rsidR="00BB24DC">
              <w:rPr>
                <w:rFonts w:ascii="宋体" w:eastAsia="宋体" w:hAnsi="宋体" w:cs="宋体" w:hint="eastAsia"/>
                <w:sz w:val="28"/>
                <w:szCs w:val="28"/>
              </w:rPr>
              <w:t>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的工作汇报,验收组认真进行了讨论、质询，验收意见如下：</w:t>
            </w:r>
          </w:p>
          <w:p w:rsidR="008D43D1" w:rsidRDefault="00A568A8" w:rsidP="008D43D1">
            <w:pPr>
              <w:spacing w:line="360" w:lineRule="auto"/>
              <w:ind w:firstLineChars="200" w:firstLine="56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本项目为</w:t>
            </w:r>
            <w:r w:rsidR="000E1201">
              <w:rPr>
                <w:rFonts w:ascii="宋体" w:eastAsia="宋体" w:hAnsi="宋体" w:cs="宋体" w:hint="eastAsia"/>
                <w:sz w:val="28"/>
                <w:szCs w:val="28"/>
              </w:rPr>
              <w:t>香格里拉市中勇加油站建设项目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，本项目的建设方案为：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建5座储油罐（3座0#柴油罐：50m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3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、50m3、40m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3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；2座汽油罐：40m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3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和40m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3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），储油罐总容积为150m3，柴油容积折半计入，为二级加油站。建筑密度15.7%，容积率0.17，绿化率18.85%。</w:t>
            </w:r>
          </w:p>
          <w:p w:rsidR="008D43D1" w:rsidRDefault="008D43D1" w:rsidP="008D43D1">
            <w:pPr>
              <w:spacing w:line="580" w:lineRule="exact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8D43D1">
              <w:rPr>
                <w:rFonts w:ascii="宋体" w:eastAsia="宋体" w:hAnsi="宋体" w:cs="宋体" w:hint="eastAsia"/>
                <w:sz w:val="28"/>
                <w:szCs w:val="28"/>
              </w:rPr>
              <w:t>项目建设共产生挖方990m3，回填土石方1286m3，外借285m3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用于绿化覆土，无弃渣产生</w:t>
            </w:r>
            <w:r w:rsidR="00A568A8"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8D43D1" w:rsidRPr="008D43D1" w:rsidRDefault="008D43D1" w:rsidP="008D43D1">
            <w:pPr>
              <w:spacing w:line="360" w:lineRule="auto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8D43D1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 xml:space="preserve">项目总投资为200万元。其中：建筑工程费117.09万元，设备购置费31.0万元，安装工程费15.0万元，建筑工程其他费用29.70万元，预备费7.21万元。资金筹措主要考虑企业自筹。 </w:t>
            </w:r>
          </w:p>
          <w:p w:rsidR="001F237D" w:rsidRDefault="008D43D1" w:rsidP="008D43D1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8D43D1">
              <w:rPr>
                <w:rFonts w:ascii="宋体" w:eastAsia="宋体" w:hAnsi="宋体" w:cs="宋体" w:hint="eastAsia"/>
                <w:sz w:val="28"/>
                <w:szCs w:val="28"/>
              </w:rPr>
              <w:t>项目建设工期为1年，即2018年6月初～2019年5月底。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18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月建设单位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委托</w:t>
            </w:r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嘉苑水利</w:t>
            </w:r>
            <w:proofErr w:type="gramEnd"/>
            <w:r w:rsidR="008D43D1" w:rsidRPr="008D43D1">
              <w:rPr>
                <w:rFonts w:ascii="宋体" w:eastAsia="宋体" w:hAnsi="宋体" w:cs="宋体" w:hint="eastAsia"/>
                <w:sz w:val="28"/>
                <w:szCs w:val="28"/>
              </w:rPr>
              <w:t>水电工程设计咨询有限公司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编制完成了《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水土保持方案报告表》，20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月2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日，香格里拉县水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局下发了《香格里拉县水务局关于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单位香格里拉市中勇加油站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水土保持方案报告表的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行政许可决定书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》。</w:t>
            </w:r>
          </w:p>
          <w:p w:rsidR="00445731" w:rsidRPr="00445731" w:rsidRDefault="00A568A8" w:rsidP="00445731">
            <w:pPr>
              <w:spacing w:line="580" w:lineRule="exact"/>
              <w:ind w:leftChars="267" w:left="561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本次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香格里拉市中勇加油站建设项目</w:t>
            </w:r>
            <w:r w:rsidR="008D43D1">
              <w:rPr>
                <w:rFonts w:ascii="宋体" w:eastAsia="宋体" w:hAnsi="宋体" w:cs="宋体" w:hint="eastAsia"/>
                <w:sz w:val="28"/>
                <w:szCs w:val="28"/>
              </w:rPr>
              <w:t>涉及到项目建设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部分，包括：</w:t>
            </w:r>
            <w:r w:rsidR="00445731" w:rsidRPr="00445731">
              <w:rPr>
                <w:rFonts w:ascii="宋体" w:eastAsia="宋体" w:hAnsi="宋体" w:cs="宋体" w:hint="eastAsia"/>
                <w:sz w:val="28"/>
                <w:szCs w:val="28"/>
              </w:rPr>
              <w:t>（1）建构筑物区</w:t>
            </w:r>
          </w:p>
          <w:p w:rsidR="00445731" w:rsidRPr="00445731" w:rsidRDefault="00445731" w:rsidP="00445731">
            <w:pPr>
              <w:spacing w:line="580" w:lineRule="exact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本项目主要建构筑物为加油区、罩棚、油罐区、站房，规划总建筑面积525.72m2,建构筑物区占地面积为0.0526hm2。</w:t>
            </w:r>
          </w:p>
          <w:p w:rsidR="00445731" w:rsidRPr="00445731" w:rsidRDefault="00445731" w:rsidP="00445731">
            <w:pPr>
              <w:spacing w:line="580" w:lineRule="exact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（2）道路及场地区</w:t>
            </w:r>
          </w:p>
          <w:p w:rsidR="00445731" w:rsidRPr="00445731" w:rsidRDefault="00445731" w:rsidP="00445731">
            <w:pPr>
              <w:spacing w:line="580" w:lineRule="exact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道路</w:t>
            </w:r>
            <w:proofErr w:type="gramStart"/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主出口</w:t>
            </w:r>
            <w:proofErr w:type="gramEnd"/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位于用地范围北侧，道路主入口位于用地范围东侧，出入口与规划路相接，厂内道路呈条带状分布于用地范围地块内，连接各建筑物及绿地，使整个项目区内车辆通行区域形成统一水泥硬化地面，厂内道路长约104m，道路宽约2.5～3m，占地面积245.3m2。硬化区主要指停车场、卸油区及预留用地，占地面积约1891.01m2，因此，道路及场地区占地面积为0.189hm2。</w:t>
            </w:r>
          </w:p>
          <w:p w:rsidR="00445731" w:rsidRPr="00445731" w:rsidRDefault="00445731" w:rsidP="00445731">
            <w:pPr>
              <w:spacing w:line="580" w:lineRule="exact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（3）绿化区</w:t>
            </w:r>
          </w:p>
          <w:p w:rsidR="001F237D" w:rsidRDefault="00445731" w:rsidP="00445731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t>该区是建筑物区、道路及场地区用地的过渡带，在用地范围南侧进口处进行中央空地集中景观绿地布置。主体工程根据各功能单元的布置情况及植物造景要求，分别采取花、灌木丛、草坪、绿篱以及高大乔木</w:t>
            </w:r>
            <w:r w:rsidRPr="00445731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等多种形式进行绿化（严禁栽植油性植被），规划用地范围绿地面积0.0914hm2。</w:t>
            </w:r>
          </w:p>
          <w:p w:rsidR="0025220E" w:rsidRPr="0025220E" w:rsidRDefault="0025220E" w:rsidP="0025220E">
            <w:pPr>
              <w:spacing w:line="360" w:lineRule="auto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方案将项目建设区划分为为建构筑物区、道路及场地区和绿化区共三个水土流失防治分区。根据水土保持的实际需要，主体在项目区设计具有水土保持功能的工程措施有围墙136m，，绿化区场内绿化0.0914hm²。本方案新增水土保持措施为：排水沟设计：在项目区周边设置截水沟，经现场勘测分析该区共设计C20混凝土排水沟长113m；排水沟断面为矩形，尺寸为：底宽0.3m，深0.5m，两边厚度为0.15m。</w:t>
            </w:r>
          </w:p>
          <w:p w:rsidR="0025220E" w:rsidRPr="0025220E" w:rsidRDefault="0025220E" w:rsidP="0025220E">
            <w:pPr>
              <w:spacing w:line="360" w:lineRule="auto"/>
              <w:ind w:firstLineChars="200" w:firstLine="560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水沟末端处布设沉砂池一个，沉砂池长2m，宽1.5m，深0.5m采用C20混凝土浇筑，底板厚0.25mC20混凝土浇筑。</w:t>
            </w:r>
          </w:p>
          <w:p w:rsidR="001F237D" w:rsidRDefault="0025220E" w:rsidP="0025220E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为了防止车辆出入将项目区泥沙带入周边道路，本方案设计在项目区主要施工出入口布设一座车辆清洁吃，池底用10cm厚碎石铺垫，同时辅以车辆冲洗设备1套。车辆</w:t>
            </w:r>
            <w:proofErr w:type="gramStart"/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清洁池设计</w:t>
            </w:r>
            <w:proofErr w:type="gramEnd"/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长8m，宽5m，顺长方向弧形设置，中间最深处50cm，圆弧夹角45°，</w:t>
            </w:r>
            <w:proofErr w:type="gramStart"/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砼</w:t>
            </w:r>
            <w:proofErr w:type="gramEnd"/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浇筑，池底和周边浇筑厚30cm。</w:t>
            </w:r>
          </w:p>
          <w:p w:rsidR="001F237D" w:rsidRDefault="0025220E" w:rsidP="0025220E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单位香格里拉市中勇加油站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水土保持设施建设项目</w:t>
            </w:r>
            <w:r w:rsidRPr="0025220E">
              <w:rPr>
                <w:rFonts w:ascii="宋体" w:eastAsia="宋体" w:hAnsi="宋体" w:cs="宋体" w:hint="eastAsia"/>
                <w:sz w:val="28"/>
                <w:szCs w:val="28"/>
              </w:rPr>
              <w:t>总投资为32.66万元，其中植物措施费9.60万元，占总投资的29.4%；临时工程费9.71万元，占总投资的2.7%；独立费用12.18万元（其中监测费用4.22万元，监理费用2.00万元），占总投资的37.30%；基本预备费0.94万元，占总投资的2.90%；水土保持补偿费0.23万元，占总投资的0.90%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该工程项目</w:t>
            </w:r>
            <w:r w:rsidR="0025220E" w:rsidRPr="0025220E">
              <w:rPr>
                <w:rFonts w:ascii="宋体" w:eastAsia="宋体" w:hAnsi="宋体" w:cs="宋体" w:hint="eastAsia"/>
                <w:sz w:val="28"/>
                <w:szCs w:val="28"/>
              </w:rPr>
              <w:t>经过一系列防治措施后项目区内扰动土地整治率将达到了99.99%，水土流失治理度将达到99.99%，土壤流失控制比为1.0，拦渣率将达到99.9%，林草植被恢复率将达到99.99%，林草覆盖率将达</w:t>
            </w:r>
            <w:r w:rsidR="0025220E" w:rsidRPr="0025220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到27.44%均达到目标值的防治要求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，能够有效防治本工程建设、运行中的新增水土流失及所带来的危害，改善建设区及周边生态环境。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为：建设单位认真贯彻《中华人民共和国水土保持法》，按照水利部有关法规要求编制了水土保持方案，并按照批复的水土保持方案实施了各项水土保持设施，建立健全的管理制度，建成的水土保持设施质量总体合格，运行期间的管护责任已得到落实，同意竣工验收。</w:t>
            </w:r>
          </w:p>
          <w:p w:rsidR="001F237D" w:rsidRDefault="00A568A8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验收组认为尚需完善的主要工作及要求：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pacing w:val="-8"/>
                <w:sz w:val="28"/>
                <w:szCs w:val="28"/>
              </w:rPr>
              <w:t>）针对本项目实际情况，项目区所在地干旱少雨，植被栽植后易枯死， 因此建议建设单位在运行期应切实加强植被的抚育管理措施，项目区占地面积较大，应专门成立植被管护小组，对项目区林草植被定期巡查、管护，对枯死的植被进行补植，并及时采用薄膜覆盖等措施；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pacing w:val="-8"/>
                <w:sz w:val="28"/>
                <w:szCs w:val="28"/>
              </w:rPr>
              <w:t>）在雨季，加强项目区的管理工作，及时对各防治分区的拦挡及排水设施进行检查，对损坏的设施及时进行修缮，防止水土流失；</w:t>
            </w:r>
          </w:p>
          <w:p w:rsidR="001F237D" w:rsidRDefault="00A568A8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pacing w:val="-8"/>
                <w:sz w:val="28"/>
                <w:szCs w:val="28"/>
              </w:rPr>
              <w:t>）运行期与当地水行政主管部门共同配合，进一步加强水土保持监督执法、广泛传播水土保持知识，提高当地群众水土保持意识，以利于该项目水土保持的开展和维护。</w:t>
            </w:r>
          </w:p>
          <w:p w:rsidR="001F237D" w:rsidRDefault="001F237D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  <w:lang w:val="en-US"/>
              </w:rPr>
            </w:pPr>
          </w:p>
          <w:p w:rsidR="00AB0D36" w:rsidRPr="00271A3D" w:rsidRDefault="00271A3D" w:rsidP="00271A3D">
            <w:pPr>
              <w:spacing w:line="580" w:lineRule="exact"/>
              <w:ind w:firstLineChars="1500" w:firstLine="3960"/>
              <w:rPr>
                <w:rFonts w:ascii="宋体" w:eastAsia="宋体" w:hAnsi="宋体" w:cs="宋体"/>
                <w:spacing w:val="-8"/>
                <w:sz w:val="28"/>
                <w:szCs w:val="28"/>
                <w:lang w:bidi="zh-CN"/>
              </w:rPr>
            </w:pPr>
            <w:r w:rsidRPr="00271A3D"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zh-CN"/>
              </w:rPr>
              <w:t>香格里拉</w:t>
            </w:r>
            <w:proofErr w:type="gramStart"/>
            <w:r w:rsidRPr="00271A3D"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zh-CN"/>
              </w:rPr>
              <w:t>市存杰</w:t>
            </w:r>
            <w:proofErr w:type="gramEnd"/>
            <w:r w:rsidRPr="00271A3D"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zh-CN"/>
              </w:rPr>
              <w:t>养殖农民专业合作社</w:t>
            </w:r>
          </w:p>
          <w:p w:rsidR="00AB0D36" w:rsidRPr="00271A3D" w:rsidRDefault="00AB0D36" w:rsidP="00271A3D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</w:t>
            </w:r>
            <w:r w:rsidR="00271A3D" w:rsidRPr="00271A3D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271A3D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271A3D" w:rsidRPr="00271A3D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>验收组长：</w:t>
            </w:r>
            <w:r w:rsidR="001B4B50">
              <w:rPr>
                <w:rFonts w:ascii="宋体" w:eastAsia="宋体" w:hAnsi="宋体" w:cs="宋体" w:hint="eastAsia"/>
                <w:sz w:val="28"/>
                <w:szCs w:val="28"/>
              </w:rPr>
              <w:t>张勇</w:t>
            </w:r>
          </w:p>
          <w:p w:rsidR="00AB0D36" w:rsidRDefault="00AB0D36" w:rsidP="00271A3D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30"/>
                <w:szCs w:val="30"/>
              </w:rPr>
            </w:pP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</w:t>
            </w:r>
            <w:r w:rsidR="00271A3D"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 w:rsidR="00271A3D">
              <w:rPr>
                <w:rFonts w:ascii="宋体" w:eastAsia="宋体" w:hAnsi="宋体" w:cs="宋体" w:hint="eastAsia"/>
                <w:sz w:val="28"/>
                <w:szCs w:val="28"/>
              </w:rPr>
              <w:t>22</w:t>
            </w: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271A3D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271A3D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  <w:r w:rsidRPr="00271A3D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1F237D" w:rsidRDefault="001F237D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1F237D" w:rsidRDefault="001F237D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1F237D" w:rsidRDefault="00A568A8">
      <w:pPr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br w:type="page"/>
      </w:r>
      <w:r>
        <w:rPr>
          <w:rFonts w:ascii="Times New Roman" w:eastAsia="黑体" w:hAnsi="Times New Roman" w:cs="Times New Roman"/>
          <w:sz w:val="30"/>
          <w:szCs w:val="30"/>
        </w:rPr>
        <w:lastRenderedPageBreak/>
        <w:t>三、验收组成员签字表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075"/>
        <w:gridCol w:w="1401"/>
        <w:gridCol w:w="3696"/>
        <w:gridCol w:w="1728"/>
        <w:gridCol w:w="1584"/>
        <w:gridCol w:w="1008"/>
      </w:tblGrid>
      <w:tr w:rsidR="001F237D">
        <w:trPr>
          <w:trHeight w:val="9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分 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pacing w:val="-20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   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 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7D" w:rsidRPr="00AB0D36" w:rsidRDefault="00A568A8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AB0D36" w:rsidTr="00975E92">
        <w:trPr>
          <w:trHeight w:val="9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组  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1B09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2A1E53" w:rsidP="00AB0D36">
            <w:pPr>
              <w:ind w:leftChars="57"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市存杰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养殖农民专业合作社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建设单位</w:t>
            </w:r>
          </w:p>
        </w:tc>
      </w:tr>
      <w:tr w:rsidR="00AB0D36" w:rsidTr="00975E92">
        <w:trPr>
          <w:trHeight w:val="943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1B09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茸春扎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2A1E53" w:rsidP="00AB0D36">
            <w:pPr>
              <w:ind w:leftChars="57"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香格里拉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市存杰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养殖农民专业合作社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项目部经理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70EB" w:rsidTr="004165A2">
        <w:trPr>
          <w:trHeight w:val="8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0EB" w:rsidRPr="00AB0D36" w:rsidRDefault="00B870EB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Default="00B870EB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李中校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Default="00B870EB" w:rsidP="00AB0D36">
            <w:pPr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迪庆州水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Default="00B870EB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EB" w:rsidRPr="00AB0D36" w:rsidRDefault="00B870EB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0EB" w:rsidRPr="00AB0D36" w:rsidRDefault="00B870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水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保专家</w:t>
            </w:r>
            <w:proofErr w:type="gramEnd"/>
          </w:p>
        </w:tc>
      </w:tr>
      <w:tr w:rsidR="00AB0D36" w:rsidTr="004165A2">
        <w:trPr>
          <w:trHeight w:val="8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ind w:firstLineChars="100" w:firstLin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香格里拉市华辰水电咨询设计有限公司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总经理</w:t>
            </w:r>
          </w:p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验收报告编制单位</w:t>
            </w:r>
          </w:p>
        </w:tc>
      </w:tr>
      <w:tr w:rsidR="00AB0D36" w:rsidTr="004165A2">
        <w:trPr>
          <w:trHeight w:val="76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李玉宏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ind w:firstLineChars="100" w:firstLin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香格里拉市华辰水电咨询设计有限公司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D36" w:rsidTr="001E08A3">
        <w:trPr>
          <w:trHeight w:val="82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1B0965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陈柱锟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6014DA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迪庆经济开发区顺和工程监理有限公司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总监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1E08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监理单位</w:t>
            </w:r>
          </w:p>
        </w:tc>
      </w:tr>
      <w:tr w:rsidR="00AB0D36" w:rsidTr="001E08A3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1B09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李光佑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6014DA" w:rsidP="00AB0D3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迪庆经济开发区顺和工程监理有限公司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现场监理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D36" w:rsidTr="00C36667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岳奎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云南恒成工程设计</w:t>
            </w:r>
            <w:proofErr w:type="gramEnd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总工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监测单位</w:t>
            </w:r>
          </w:p>
        </w:tc>
      </w:tr>
      <w:tr w:rsidR="00AB0D36" w:rsidTr="00C36667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李梅芳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ind w:leftChars="57" w:left="120"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云南恒成工程设计</w:t>
            </w:r>
            <w:proofErr w:type="gramEnd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现场监测工程师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D36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1B0965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冉同辉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6014DA" w:rsidP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嘉苑水利</w:t>
            </w:r>
            <w:proofErr w:type="gramEnd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水电工程设计咨询有限公司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水土保持方案编制单位</w:t>
            </w:r>
          </w:p>
        </w:tc>
      </w:tr>
      <w:tr w:rsidR="00AB0D36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P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1B0965" w:rsidP="00B43D0A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李开云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6014DA" w:rsidP="00AB0D3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云南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宸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源建筑工程有限公司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总经理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0D36">
              <w:rPr>
                <w:rFonts w:ascii="宋体" w:eastAsia="宋体" w:hAnsi="宋体" w:cs="宋体" w:hint="eastAsia"/>
                <w:sz w:val="24"/>
                <w:szCs w:val="24"/>
              </w:rPr>
              <w:t>施工单位</w:t>
            </w:r>
          </w:p>
        </w:tc>
      </w:tr>
      <w:tr w:rsidR="00AB0D36">
        <w:trPr>
          <w:trHeight w:val="74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0D36" w:rsidRDefault="00AB0D36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1B0965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李涛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6014DA" w:rsidP="00AB0D3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云南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宸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源建筑工程有限公司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B43D0A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项目经理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36" w:rsidRDefault="00AB0D3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F237D" w:rsidRDefault="001F237D">
      <w:pPr>
        <w:outlineLvl w:val="0"/>
        <w:rPr>
          <w:rFonts w:ascii="Times New Roman" w:eastAsia="黑体" w:hAnsi="Times New Roman" w:cs="Times New Roman"/>
          <w:sz w:val="30"/>
          <w:szCs w:val="30"/>
        </w:rPr>
      </w:pPr>
    </w:p>
    <w:sectPr w:rsidR="001F23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B1" w:rsidRDefault="005339B1">
      <w:r>
        <w:separator/>
      </w:r>
    </w:p>
  </w:endnote>
  <w:endnote w:type="continuationSeparator" w:id="0">
    <w:p w:rsidR="005339B1" w:rsidRDefault="0053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45869"/>
      <w:showingPlcHdr/>
    </w:sdtPr>
    <w:sdtEndPr/>
    <w:sdtContent>
      <w:p w:rsidR="001F237D" w:rsidRDefault="00BB24DC">
        <w:pPr>
          <w:pStyle w:val="a6"/>
          <w:jc w:val="center"/>
        </w:pPr>
        <w:r>
          <w:t xml:space="preserve">     </w:t>
        </w:r>
      </w:p>
    </w:sdtContent>
  </w:sdt>
  <w:p w:rsidR="001F237D" w:rsidRDefault="001F2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B1" w:rsidRDefault="005339B1">
      <w:r>
        <w:separator/>
      </w:r>
    </w:p>
  </w:footnote>
  <w:footnote w:type="continuationSeparator" w:id="0">
    <w:p w:rsidR="005339B1" w:rsidRDefault="0053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8"/>
    <w:rsid w:val="00002F3E"/>
    <w:rsid w:val="00037B33"/>
    <w:rsid w:val="00082658"/>
    <w:rsid w:val="000C0EF2"/>
    <w:rsid w:val="000D5333"/>
    <w:rsid w:val="000E1201"/>
    <w:rsid w:val="00123B43"/>
    <w:rsid w:val="0014450C"/>
    <w:rsid w:val="00147D1F"/>
    <w:rsid w:val="0015092B"/>
    <w:rsid w:val="00151286"/>
    <w:rsid w:val="00156391"/>
    <w:rsid w:val="00163519"/>
    <w:rsid w:val="001A17F8"/>
    <w:rsid w:val="001A2D66"/>
    <w:rsid w:val="001B0965"/>
    <w:rsid w:val="001B4B50"/>
    <w:rsid w:val="001B52B1"/>
    <w:rsid w:val="001F237D"/>
    <w:rsid w:val="00214665"/>
    <w:rsid w:val="0025220E"/>
    <w:rsid w:val="002546C2"/>
    <w:rsid w:val="00271A3D"/>
    <w:rsid w:val="002904B6"/>
    <w:rsid w:val="002A1E53"/>
    <w:rsid w:val="002E336D"/>
    <w:rsid w:val="002F4E04"/>
    <w:rsid w:val="003062B4"/>
    <w:rsid w:val="0032524F"/>
    <w:rsid w:val="003269C3"/>
    <w:rsid w:val="00345709"/>
    <w:rsid w:val="00445731"/>
    <w:rsid w:val="004503A8"/>
    <w:rsid w:val="004E6602"/>
    <w:rsid w:val="00526350"/>
    <w:rsid w:val="005339B1"/>
    <w:rsid w:val="0055054D"/>
    <w:rsid w:val="00577447"/>
    <w:rsid w:val="00590CF7"/>
    <w:rsid w:val="005B1FE3"/>
    <w:rsid w:val="006014DA"/>
    <w:rsid w:val="0060686A"/>
    <w:rsid w:val="006136AF"/>
    <w:rsid w:val="006141A1"/>
    <w:rsid w:val="00640D60"/>
    <w:rsid w:val="00645348"/>
    <w:rsid w:val="006A1541"/>
    <w:rsid w:val="006A60D8"/>
    <w:rsid w:val="006B60C4"/>
    <w:rsid w:val="006F63D4"/>
    <w:rsid w:val="006F78CB"/>
    <w:rsid w:val="00712BD3"/>
    <w:rsid w:val="00721B32"/>
    <w:rsid w:val="00784C91"/>
    <w:rsid w:val="007867BF"/>
    <w:rsid w:val="00820A2D"/>
    <w:rsid w:val="008540CC"/>
    <w:rsid w:val="00882EF7"/>
    <w:rsid w:val="008904A3"/>
    <w:rsid w:val="008B1F08"/>
    <w:rsid w:val="008B5B80"/>
    <w:rsid w:val="008D43D1"/>
    <w:rsid w:val="009205A7"/>
    <w:rsid w:val="0093058E"/>
    <w:rsid w:val="00942D44"/>
    <w:rsid w:val="00960422"/>
    <w:rsid w:val="00972A92"/>
    <w:rsid w:val="00977DA1"/>
    <w:rsid w:val="00986992"/>
    <w:rsid w:val="009D124B"/>
    <w:rsid w:val="00A01381"/>
    <w:rsid w:val="00A568A8"/>
    <w:rsid w:val="00AB0D36"/>
    <w:rsid w:val="00AF1409"/>
    <w:rsid w:val="00B05A8C"/>
    <w:rsid w:val="00B07F3D"/>
    <w:rsid w:val="00B606FF"/>
    <w:rsid w:val="00B731B2"/>
    <w:rsid w:val="00B849A5"/>
    <w:rsid w:val="00B870EB"/>
    <w:rsid w:val="00BB24DC"/>
    <w:rsid w:val="00BD5FEB"/>
    <w:rsid w:val="00BF09F1"/>
    <w:rsid w:val="00BF6E1D"/>
    <w:rsid w:val="00C858BC"/>
    <w:rsid w:val="00CD3DEE"/>
    <w:rsid w:val="00CF1C8B"/>
    <w:rsid w:val="00D1744F"/>
    <w:rsid w:val="00D21AC2"/>
    <w:rsid w:val="00D83F20"/>
    <w:rsid w:val="00DB5B10"/>
    <w:rsid w:val="00DC34FB"/>
    <w:rsid w:val="00DD5EF8"/>
    <w:rsid w:val="00DD7A57"/>
    <w:rsid w:val="00DE7761"/>
    <w:rsid w:val="00E0087E"/>
    <w:rsid w:val="00E65AB8"/>
    <w:rsid w:val="00EA46E2"/>
    <w:rsid w:val="00EE3078"/>
    <w:rsid w:val="00F133C7"/>
    <w:rsid w:val="00F1483D"/>
    <w:rsid w:val="00F46EFB"/>
    <w:rsid w:val="00F702B8"/>
    <w:rsid w:val="00F845EC"/>
    <w:rsid w:val="00FC5A87"/>
    <w:rsid w:val="00FD30B7"/>
    <w:rsid w:val="0249621E"/>
    <w:rsid w:val="02B21E44"/>
    <w:rsid w:val="02DD687D"/>
    <w:rsid w:val="02E35D65"/>
    <w:rsid w:val="06802484"/>
    <w:rsid w:val="06CF0274"/>
    <w:rsid w:val="08D66F09"/>
    <w:rsid w:val="0C975E31"/>
    <w:rsid w:val="0F5B71B0"/>
    <w:rsid w:val="10143155"/>
    <w:rsid w:val="10F9535E"/>
    <w:rsid w:val="116114EB"/>
    <w:rsid w:val="1762446A"/>
    <w:rsid w:val="1CA85A91"/>
    <w:rsid w:val="1F251BD1"/>
    <w:rsid w:val="240E416D"/>
    <w:rsid w:val="26956B75"/>
    <w:rsid w:val="28687287"/>
    <w:rsid w:val="2AB15B5D"/>
    <w:rsid w:val="2E5968AC"/>
    <w:rsid w:val="33576819"/>
    <w:rsid w:val="35155079"/>
    <w:rsid w:val="353C6886"/>
    <w:rsid w:val="3C911433"/>
    <w:rsid w:val="3D0954F3"/>
    <w:rsid w:val="3FC544D7"/>
    <w:rsid w:val="48002417"/>
    <w:rsid w:val="539A43FA"/>
    <w:rsid w:val="55733B62"/>
    <w:rsid w:val="55BB122E"/>
    <w:rsid w:val="5BE13F3E"/>
    <w:rsid w:val="5ECE25AA"/>
    <w:rsid w:val="5FDE53D8"/>
    <w:rsid w:val="663D530E"/>
    <w:rsid w:val="6B0C4917"/>
    <w:rsid w:val="6C8F4777"/>
    <w:rsid w:val="72942AAB"/>
    <w:rsid w:val="73DB2A6E"/>
    <w:rsid w:val="7481619E"/>
    <w:rsid w:val="7587012F"/>
    <w:rsid w:val="760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ody Text Indent"/>
    <w:basedOn w:val="a"/>
    <w:link w:val="Char"/>
    <w:qFormat/>
    <w:pPr>
      <w:widowControl/>
      <w:ind w:firstLine="675"/>
    </w:pPr>
    <w:rPr>
      <w:rFonts w:eastAsia="宋体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4"/>
    <w:qFormat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ody Text Indent"/>
    <w:basedOn w:val="a"/>
    <w:link w:val="Char"/>
    <w:qFormat/>
    <w:pPr>
      <w:widowControl/>
      <w:ind w:firstLine="675"/>
    </w:pPr>
    <w:rPr>
      <w:rFonts w:eastAsia="宋体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4"/>
    <w:qFormat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533</Words>
  <Characters>3040</Characters>
  <Application>Microsoft Office Word</Application>
  <DocSecurity>0</DocSecurity>
  <Lines>25</Lines>
  <Paragraphs>7</Paragraphs>
  <ScaleCrop>false</ScaleCrop>
  <Company>JDC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</dc:creator>
  <cp:lastModifiedBy>AutoBVT</cp:lastModifiedBy>
  <cp:revision>23</cp:revision>
  <cp:lastPrinted>2022-01-06T07:48:00Z</cp:lastPrinted>
  <dcterms:created xsi:type="dcterms:W3CDTF">2017-11-15T08:59:00Z</dcterms:created>
  <dcterms:modified xsi:type="dcterms:W3CDTF">2022-01-24T07:36:00Z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